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301" w:rsidRPr="00E91E30" w:rsidRDefault="00C91301" w:rsidP="00C91301">
      <w:pPr>
        <w:jc w:val="center"/>
        <w:rPr>
          <w:rFonts w:ascii="Katsoulidis" w:hAnsi="Katsoulidis"/>
          <w:b/>
          <w:u w:val="single"/>
        </w:rPr>
      </w:pPr>
      <w:bookmarkStart w:id="0" w:name="_GoBack"/>
      <w:bookmarkEnd w:id="0"/>
      <w:r w:rsidRPr="00E91E30">
        <w:rPr>
          <w:rFonts w:ascii="Katsoulidis" w:hAnsi="Katsoulidis"/>
          <w:b/>
          <w:u w:val="single"/>
        </w:rPr>
        <w:t>ΕΞΕΤΑΣΕΙΣ ΚΑΤΑΤΑΞΗΣ</w:t>
      </w:r>
    </w:p>
    <w:p w:rsidR="00C91301" w:rsidRPr="00E91E30" w:rsidRDefault="00C91301" w:rsidP="00C91301">
      <w:pPr>
        <w:jc w:val="center"/>
        <w:rPr>
          <w:rFonts w:ascii="Katsoulidis" w:hAnsi="Katsoulidis"/>
          <w:b/>
          <w:u w:val="single"/>
        </w:rPr>
      </w:pPr>
      <w:r w:rsidRPr="00E91E30">
        <w:rPr>
          <w:rFonts w:ascii="Katsoulidis" w:hAnsi="Katsoulidis"/>
          <w:b/>
          <w:u w:val="single"/>
        </w:rPr>
        <w:t>ΣΤΟ ΤΜΗΜΑ ΑΓΓΛΙΚΗΣ ΓΛΩΣΣΑΣ ΚΑΙ ΦΙΛΟΛΟΓΙΑΣ ΤΟΥ ΕΚΠΑ</w:t>
      </w:r>
    </w:p>
    <w:p w:rsidR="00C91301" w:rsidRPr="00E91E30" w:rsidRDefault="00C91301" w:rsidP="00C91301">
      <w:pPr>
        <w:jc w:val="center"/>
        <w:rPr>
          <w:rFonts w:ascii="Katsoulidis" w:hAnsi="Katsoulidis"/>
          <w:b/>
          <w:u w:val="single"/>
        </w:rPr>
      </w:pPr>
    </w:p>
    <w:p w:rsidR="00C91301" w:rsidRPr="00E91E30" w:rsidRDefault="00C91301" w:rsidP="00C91301">
      <w:pPr>
        <w:jc w:val="center"/>
        <w:rPr>
          <w:rFonts w:ascii="Katsoulidis" w:hAnsi="Katsoulidis"/>
          <w:b/>
          <w:u w:val="single"/>
        </w:rPr>
      </w:pPr>
      <w:r w:rsidRPr="00E91E30">
        <w:rPr>
          <w:rFonts w:ascii="Katsoulidis" w:hAnsi="Katsoulidis"/>
          <w:b/>
          <w:u w:val="single"/>
        </w:rPr>
        <w:t xml:space="preserve">Α Ν Α Κ Ο Ι Ν Ω Σ Η </w:t>
      </w:r>
    </w:p>
    <w:p w:rsidR="00C91301" w:rsidRPr="00E91E30" w:rsidRDefault="00C91301" w:rsidP="00C91301">
      <w:pPr>
        <w:jc w:val="center"/>
        <w:rPr>
          <w:rFonts w:ascii="Katsoulidis" w:hAnsi="Katsoulidis"/>
          <w:b/>
          <w:u w:val="single"/>
        </w:rPr>
      </w:pPr>
    </w:p>
    <w:p w:rsidR="00C91301" w:rsidRPr="00E91E30" w:rsidRDefault="00C91301" w:rsidP="00C91301">
      <w:pPr>
        <w:spacing w:line="360" w:lineRule="auto"/>
        <w:jc w:val="both"/>
        <w:rPr>
          <w:rFonts w:ascii="Katsoulidis" w:hAnsi="Katsoulidis" w:cs="Arial"/>
        </w:rPr>
      </w:pPr>
      <w:r w:rsidRPr="00E91E30">
        <w:rPr>
          <w:rFonts w:ascii="Katsoulidis" w:hAnsi="Katsoulidis" w:cs="Arial"/>
        </w:rPr>
        <w:t xml:space="preserve">Συναφώς </w:t>
      </w:r>
      <w:r w:rsidRPr="00CB07DA">
        <w:rPr>
          <w:rFonts w:ascii="Katsoulidis" w:hAnsi="Katsoulidis" w:cs="Arial"/>
        </w:rPr>
        <w:t>προς τον Νόμο</w:t>
      </w:r>
      <w:r>
        <w:rPr>
          <w:rFonts w:ascii="Katsoulidis" w:hAnsi="Katsoulidis" w:cs="Arial"/>
        </w:rPr>
        <w:t xml:space="preserve"> </w:t>
      </w:r>
      <w:r w:rsidRPr="00CB07DA">
        <w:t>(</w:t>
      </w:r>
      <w:r>
        <w:t xml:space="preserve">ΦΕΚ 3185/ Τ Β΄/ 16-12-2013) </w:t>
      </w:r>
      <w:r w:rsidRPr="00E91E30">
        <w:rPr>
          <w:rFonts w:ascii="Katsoulidis" w:hAnsi="Katsoulidis" w:cs="Arial"/>
        </w:rPr>
        <w:t>οι Κατ</w:t>
      </w:r>
      <w:r w:rsidR="0008641F">
        <w:rPr>
          <w:rFonts w:ascii="Katsoulidis" w:hAnsi="Katsoulidis" w:cs="Arial"/>
        </w:rPr>
        <w:t>ατάξεις πτυχιούχων Πανεπιστημίων</w:t>
      </w:r>
      <w:r w:rsidRPr="00E91E30">
        <w:rPr>
          <w:rFonts w:ascii="Katsoulidis" w:hAnsi="Katsoulidis" w:cs="Arial"/>
        </w:rPr>
        <w:t xml:space="preserve">, ΤΕΙ, ή ισότιμων προς αυτά, Α.ΣΠΑΙ.Τ.Ε., καθώς και πτυχιούχων σχολών </w:t>
      </w:r>
      <w:proofErr w:type="spellStart"/>
      <w:r w:rsidRPr="00E91E30">
        <w:rPr>
          <w:rFonts w:ascii="Katsoulidis" w:hAnsi="Katsoulidis" w:cs="Arial"/>
        </w:rPr>
        <w:t>υπερδιετούς</w:t>
      </w:r>
      <w:proofErr w:type="spellEnd"/>
      <w:r w:rsidRPr="00E91E30">
        <w:rPr>
          <w:rFonts w:ascii="Katsoulidis" w:hAnsi="Katsoulidis" w:cs="Arial"/>
        </w:rPr>
        <w:t xml:space="preserve"> και διετούς κύκλου σπουδών στην Τριτοβάθμια Εκπαίδευση θα γίνονται πλέον μόνο με γραπτές εξετάσεις σε τρία (3) μαθήματα, τα οποία ορίζονται από το κάθε Τμήμα. Η προθεσμία υποβολής των δικαιολογητικών ορίζ</w:t>
      </w:r>
      <w:r w:rsidR="00EE7D1D">
        <w:rPr>
          <w:rFonts w:ascii="Katsoulidis" w:hAnsi="Katsoulidis" w:cs="Arial"/>
        </w:rPr>
        <w:t>εται από 1 έως 15 Νοεμβρίου 202</w:t>
      </w:r>
      <w:r w:rsidR="00EE7D1D" w:rsidRPr="002B2598">
        <w:rPr>
          <w:rFonts w:ascii="Katsoulidis" w:hAnsi="Katsoulidis" w:cs="Arial"/>
        </w:rPr>
        <w:t>2</w:t>
      </w:r>
      <w:r w:rsidRPr="00E91E30">
        <w:rPr>
          <w:rFonts w:ascii="Katsoulidis" w:hAnsi="Katsoulidis" w:cs="Arial"/>
        </w:rPr>
        <w:t>. Οι εξετάσεις θα διε</w:t>
      </w:r>
      <w:r w:rsidR="0008641F">
        <w:rPr>
          <w:rFonts w:ascii="Katsoulidis" w:hAnsi="Katsoulidis" w:cs="Arial"/>
        </w:rPr>
        <w:t>νεργηθούν το</w:t>
      </w:r>
      <w:r w:rsidR="00EE7D1D">
        <w:rPr>
          <w:rFonts w:ascii="Katsoulidis" w:hAnsi="Katsoulidis" w:cs="Arial"/>
        </w:rPr>
        <w:t xml:space="preserve"> Δεκέμβριο του 202</w:t>
      </w:r>
      <w:r w:rsidR="00EE7D1D" w:rsidRPr="002B2598">
        <w:rPr>
          <w:rFonts w:ascii="Katsoulidis" w:hAnsi="Katsoulidis" w:cs="Arial"/>
        </w:rPr>
        <w:t>2</w:t>
      </w:r>
      <w:r w:rsidRPr="00E91E30">
        <w:rPr>
          <w:rFonts w:ascii="Katsoulidis" w:hAnsi="Katsoulidis" w:cs="Arial"/>
        </w:rPr>
        <w:t>.</w:t>
      </w:r>
    </w:p>
    <w:p w:rsidR="00C91301" w:rsidRPr="00E91E30" w:rsidRDefault="00C91301" w:rsidP="00C91301">
      <w:pPr>
        <w:spacing w:line="360" w:lineRule="auto"/>
        <w:jc w:val="both"/>
        <w:rPr>
          <w:rFonts w:ascii="Katsoulidis" w:hAnsi="Katsoulidis" w:cs="Arial"/>
        </w:rPr>
      </w:pPr>
    </w:p>
    <w:p w:rsidR="00C91301" w:rsidRPr="00E91E30" w:rsidRDefault="00C91301" w:rsidP="00C91301">
      <w:pPr>
        <w:spacing w:line="360" w:lineRule="auto"/>
        <w:jc w:val="both"/>
        <w:rPr>
          <w:rFonts w:ascii="Katsoulidis" w:hAnsi="Katsoulidis" w:cs="Arial"/>
        </w:rPr>
      </w:pPr>
      <w:r w:rsidRPr="00E91E30">
        <w:rPr>
          <w:rFonts w:ascii="Katsoulidis" w:hAnsi="Katsoulidis" w:cs="Arial"/>
          <w:u w:val="single"/>
        </w:rPr>
        <w:t xml:space="preserve">Ειδικότερα, η Γραμματεία του ΤΑΓΦ θα δέχεται αιτήσεις στο προαναφερθέν διάστημα, τις ημέρες και ώρες λειτουργίας της Γραμματείας για το κοινό, ήτοι </w:t>
      </w:r>
      <w:r w:rsidRPr="00E91E30">
        <w:rPr>
          <w:rFonts w:ascii="Katsoulidis" w:hAnsi="Katsoulidis" w:cs="Arial"/>
          <w:b/>
          <w:u w:val="single"/>
        </w:rPr>
        <w:t>Δευτέρα, Τετάρτη και Παρασκευή και από ώρα 11.00 έως 14.00.</w:t>
      </w:r>
      <w:r w:rsidRPr="00E91E30">
        <w:rPr>
          <w:rFonts w:ascii="Katsoulidis" w:hAnsi="Katsoulidis" w:cs="Arial"/>
          <w:u w:val="single"/>
        </w:rPr>
        <w:t xml:space="preserve"> Τα δικαιολογητικά που απαιτούνται είναι:</w:t>
      </w:r>
    </w:p>
    <w:p w:rsidR="00C91301" w:rsidRPr="00E91E30" w:rsidRDefault="00C91301" w:rsidP="00C91301">
      <w:pPr>
        <w:spacing w:line="360" w:lineRule="auto"/>
        <w:jc w:val="both"/>
        <w:rPr>
          <w:rFonts w:ascii="Katsoulidis" w:hAnsi="Katsoulidis" w:cs="Arial"/>
          <w:b/>
        </w:rPr>
      </w:pPr>
      <w:r w:rsidRPr="00E91E30">
        <w:rPr>
          <w:rFonts w:ascii="Katsoulidis" w:hAnsi="Katsoulidis" w:cs="Arial"/>
          <w:b/>
          <w:u w:val="single"/>
        </w:rPr>
        <w:t>α) αίτηση</w:t>
      </w:r>
      <w:r w:rsidRPr="00E91E30">
        <w:rPr>
          <w:rFonts w:ascii="Katsoulidis" w:hAnsi="Katsoulidis" w:cs="Arial"/>
          <w:b/>
        </w:rPr>
        <w:t xml:space="preserve"> </w:t>
      </w:r>
      <w:r w:rsidRPr="00E91E30">
        <w:rPr>
          <w:rFonts w:ascii="Katsoulidis" w:hAnsi="Katsoulidis" w:cs="Arial"/>
        </w:rPr>
        <w:t xml:space="preserve">(το έντυπο δίδεται από τη Γραμματεία, αλλά μπορείτε να το βρείτε και στον </w:t>
      </w:r>
      <w:proofErr w:type="spellStart"/>
      <w:r w:rsidRPr="00E91E30">
        <w:rPr>
          <w:rFonts w:ascii="Katsoulidis" w:hAnsi="Katsoulidis" w:cs="Arial"/>
        </w:rPr>
        <w:t>ιστότοπο</w:t>
      </w:r>
      <w:proofErr w:type="spellEnd"/>
      <w:r w:rsidRPr="00E91E30">
        <w:rPr>
          <w:rFonts w:ascii="Katsoulidis" w:hAnsi="Katsoulidis" w:cs="Arial"/>
        </w:rPr>
        <w:t xml:space="preserve"> του Τμήματος (</w:t>
      </w:r>
      <w:hyperlink r:id="rId6" w:history="1">
        <w:r w:rsidRPr="00E91E30">
          <w:rPr>
            <w:rStyle w:val="-"/>
            <w:rFonts w:ascii="Katsoulidis" w:hAnsi="Katsoulidis" w:cs="Arial"/>
            <w:lang w:val="en-US"/>
          </w:rPr>
          <w:t>www</w:t>
        </w:r>
        <w:r w:rsidRPr="00E91E30">
          <w:rPr>
            <w:rStyle w:val="-"/>
            <w:rFonts w:ascii="Katsoulidis" w:hAnsi="Katsoulidis" w:cs="Arial"/>
          </w:rPr>
          <w:t>.</w:t>
        </w:r>
        <w:proofErr w:type="spellStart"/>
        <w:r w:rsidRPr="00E91E30">
          <w:rPr>
            <w:rStyle w:val="-"/>
            <w:rFonts w:ascii="Katsoulidis" w:hAnsi="Katsoulidis" w:cs="Arial"/>
            <w:lang w:val="en-US"/>
          </w:rPr>
          <w:t>enl</w:t>
        </w:r>
        <w:proofErr w:type="spellEnd"/>
        <w:r w:rsidRPr="00E91E30">
          <w:rPr>
            <w:rStyle w:val="-"/>
            <w:rFonts w:ascii="Katsoulidis" w:hAnsi="Katsoulidis" w:cs="Arial"/>
          </w:rPr>
          <w:t>.</w:t>
        </w:r>
        <w:proofErr w:type="spellStart"/>
        <w:r w:rsidRPr="00E91E30">
          <w:rPr>
            <w:rStyle w:val="-"/>
            <w:rFonts w:ascii="Katsoulidis" w:hAnsi="Katsoulidis" w:cs="Arial"/>
            <w:lang w:val="en-US"/>
          </w:rPr>
          <w:t>uoa</w:t>
        </w:r>
        <w:proofErr w:type="spellEnd"/>
        <w:r w:rsidRPr="00E91E30">
          <w:rPr>
            <w:rStyle w:val="-"/>
            <w:rFonts w:ascii="Katsoulidis" w:hAnsi="Katsoulidis" w:cs="Arial"/>
          </w:rPr>
          <w:t>.</w:t>
        </w:r>
        <w:r w:rsidRPr="00E91E30">
          <w:rPr>
            <w:rStyle w:val="-"/>
            <w:rFonts w:ascii="Katsoulidis" w:hAnsi="Katsoulidis" w:cs="Arial"/>
            <w:lang w:val="en-US"/>
          </w:rPr>
          <w:t>gr</w:t>
        </w:r>
      </w:hyperlink>
      <w:r w:rsidRPr="00E91E30">
        <w:rPr>
          <w:rFonts w:ascii="Katsoulidis" w:hAnsi="Katsoulidis" w:cs="Arial"/>
        </w:rPr>
        <w:t>) στο μενού</w:t>
      </w:r>
      <w:r w:rsidRPr="00E91E30">
        <w:rPr>
          <w:rFonts w:ascii="Katsoulidis" w:hAnsi="Katsoulidis" w:cs="Arial"/>
          <w:b/>
        </w:rPr>
        <w:t xml:space="preserve"> «Ηλεκτρονικές Υπηρεσίες»</w:t>
      </w:r>
      <w:r w:rsidRPr="00E91E30">
        <w:rPr>
          <w:rFonts w:ascii="Katsoulidis" w:hAnsi="Katsoulidis" w:cs="Arial"/>
          <w:b/>
        </w:rPr>
        <w:sym w:font="Wingdings" w:char="00E0"/>
      </w:r>
      <w:r w:rsidRPr="00E91E30">
        <w:rPr>
          <w:rFonts w:ascii="Katsoulidis" w:hAnsi="Katsoulidis" w:cs="Arial"/>
          <w:b/>
        </w:rPr>
        <w:t xml:space="preserve"> «Ηλεκτρονικά έντυπα»)</w:t>
      </w:r>
    </w:p>
    <w:p w:rsidR="00C91301" w:rsidRPr="00E91E30" w:rsidRDefault="00C91301" w:rsidP="00C91301">
      <w:pPr>
        <w:spacing w:line="360" w:lineRule="auto"/>
        <w:jc w:val="both"/>
        <w:rPr>
          <w:rFonts w:ascii="Katsoulidis" w:hAnsi="Katsoulidis" w:cs="Arial"/>
        </w:rPr>
      </w:pPr>
      <w:r w:rsidRPr="00E91E30">
        <w:rPr>
          <w:rFonts w:ascii="Katsoulidis" w:hAnsi="Katsoulidis" w:cs="Arial"/>
          <w:b/>
          <w:u w:val="single"/>
        </w:rPr>
        <w:t xml:space="preserve"> β) αντίγραφο πτυχίου </w:t>
      </w:r>
      <w:r w:rsidRPr="00E91E30">
        <w:rPr>
          <w:rFonts w:ascii="Katsoulidis" w:hAnsi="Katsoulidis" w:cs="Arial"/>
        </w:rPr>
        <w:t>(απλή φωτοτυπία) ή πιστοποιητικό περάτωσης σπουδών (για όσους/ες δεν έχουν ορκιστεί).</w:t>
      </w:r>
    </w:p>
    <w:p w:rsidR="00C91301" w:rsidRPr="00E91E30" w:rsidRDefault="00C91301" w:rsidP="00C91301">
      <w:pPr>
        <w:spacing w:line="360" w:lineRule="auto"/>
        <w:jc w:val="both"/>
        <w:rPr>
          <w:rFonts w:ascii="Katsoulidis" w:hAnsi="Katsoulidis" w:cs="Arial"/>
        </w:rPr>
      </w:pPr>
    </w:p>
    <w:p w:rsidR="00C91301" w:rsidRPr="00E91E30" w:rsidRDefault="00C91301" w:rsidP="00C91301">
      <w:pPr>
        <w:spacing w:line="360" w:lineRule="auto"/>
        <w:jc w:val="both"/>
        <w:rPr>
          <w:rFonts w:ascii="Katsoulidis" w:hAnsi="Katsoulidis" w:cs="Arial"/>
        </w:rPr>
      </w:pPr>
      <w:r w:rsidRPr="00E91E30">
        <w:rPr>
          <w:rFonts w:ascii="Katsoulidis" w:hAnsi="Katsoulidis" w:cs="Arial"/>
        </w:rPr>
        <w:t>Προκειμένου για πτυχιούχους εξωτερικού συνυποβάλλεται και βεβαίωση ισοτιμίας του τίτλου σπουδών τους από το ΔΟΑΤΑΠ ή από το όργανο που έχει την αρμοδιότητα αναγνώρισης του τίτλου σπουδών.</w:t>
      </w:r>
    </w:p>
    <w:p w:rsidR="00C91301" w:rsidRPr="00E91E30" w:rsidRDefault="00C91301" w:rsidP="00C91301">
      <w:pPr>
        <w:spacing w:line="360" w:lineRule="auto"/>
        <w:jc w:val="both"/>
        <w:rPr>
          <w:rFonts w:ascii="Katsoulidis" w:hAnsi="Katsoulidis" w:cs="Arial"/>
          <w:b/>
          <w:u w:val="single"/>
        </w:rPr>
      </w:pPr>
    </w:p>
    <w:p w:rsidR="00C91301" w:rsidRPr="00E91E30" w:rsidRDefault="00C91301" w:rsidP="00C91301">
      <w:pPr>
        <w:spacing w:line="360" w:lineRule="auto"/>
        <w:jc w:val="both"/>
        <w:rPr>
          <w:rFonts w:ascii="Katsoulidis" w:hAnsi="Katsoulidis" w:cs="Arial"/>
          <w:b/>
        </w:rPr>
      </w:pPr>
      <w:r w:rsidRPr="00E91E30">
        <w:rPr>
          <w:rFonts w:ascii="Katsoulidis" w:hAnsi="Katsoulidis" w:cs="Arial"/>
          <w:b/>
        </w:rPr>
        <w:t xml:space="preserve">Οι αιτήσεις θα γίνονται δεκτές είτε αυτοπροσώπως, είτε με εξουσιοδότηση (μέσω της πλατφόρμας </w:t>
      </w:r>
      <w:r w:rsidRPr="00E91E30">
        <w:rPr>
          <w:rFonts w:ascii="Katsoulidis" w:hAnsi="Katsoulidis" w:cs="Arial"/>
          <w:b/>
          <w:lang w:val="en-US"/>
        </w:rPr>
        <w:t>www</w:t>
      </w:r>
      <w:r w:rsidRPr="00E91E30">
        <w:rPr>
          <w:rFonts w:ascii="Katsoulidis" w:hAnsi="Katsoulidis" w:cs="Arial"/>
          <w:b/>
        </w:rPr>
        <w:t>.</w:t>
      </w:r>
      <w:proofErr w:type="spellStart"/>
      <w:r w:rsidRPr="00E91E30">
        <w:rPr>
          <w:rFonts w:ascii="Katsoulidis" w:hAnsi="Katsoulidis" w:cs="Arial"/>
          <w:b/>
          <w:lang w:val="en-US"/>
        </w:rPr>
        <w:t>gov</w:t>
      </w:r>
      <w:proofErr w:type="spellEnd"/>
      <w:r w:rsidRPr="00E91E30">
        <w:rPr>
          <w:rFonts w:ascii="Katsoulidis" w:hAnsi="Katsoulidis" w:cs="Arial"/>
          <w:b/>
        </w:rPr>
        <w:t>.</w:t>
      </w:r>
      <w:r w:rsidRPr="00E91E30">
        <w:rPr>
          <w:rFonts w:ascii="Katsoulidis" w:hAnsi="Katsoulidis" w:cs="Arial"/>
          <w:b/>
          <w:lang w:val="en-US"/>
        </w:rPr>
        <w:t>gr</w:t>
      </w:r>
      <w:r w:rsidRPr="00E91E30">
        <w:rPr>
          <w:rFonts w:ascii="Katsoulidis" w:hAnsi="Katsoulidis" w:cs="Arial"/>
          <w:b/>
        </w:rPr>
        <w:t xml:space="preserve">), είτε μέσω </w:t>
      </w:r>
      <w:r w:rsidRPr="00E91E30">
        <w:rPr>
          <w:rFonts w:ascii="Katsoulidis" w:hAnsi="Katsoulidis" w:cs="Arial"/>
          <w:b/>
          <w:lang w:val="en-US"/>
        </w:rPr>
        <w:t>courier</w:t>
      </w:r>
      <w:r w:rsidRPr="00E91E30">
        <w:rPr>
          <w:rFonts w:ascii="Katsoulidis" w:hAnsi="Katsoulidis" w:cs="Arial"/>
          <w:b/>
        </w:rPr>
        <w:t xml:space="preserve"> και </w:t>
      </w:r>
      <w:r w:rsidRPr="00E91E30">
        <w:rPr>
          <w:rFonts w:ascii="Katsoulidis" w:hAnsi="Katsoulidis" w:cs="Arial"/>
          <w:b/>
          <w:u w:val="single"/>
        </w:rPr>
        <w:t>όχι ταχυδρομικά</w:t>
      </w:r>
      <w:r w:rsidRPr="00E91E30">
        <w:rPr>
          <w:rFonts w:ascii="Katsoulidis" w:hAnsi="Katsoulidis" w:cs="Arial"/>
          <w:b/>
        </w:rPr>
        <w:t>.</w:t>
      </w:r>
    </w:p>
    <w:p w:rsidR="00C91301" w:rsidRPr="00E91E30" w:rsidRDefault="00C91301" w:rsidP="00C91301">
      <w:pPr>
        <w:spacing w:line="360" w:lineRule="auto"/>
        <w:jc w:val="both"/>
        <w:rPr>
          <w:rFonts w:ascii="Katsoulidis" w:hAnsi="Katsoulidis" w:cs="Arial"/>
          <w:b/>
        </w:rPr>
      </w:pPr>
    </w:p>
    <w:p w:rsidR="00C91301" w:rsidRPr="00E91E30" w:rsidRDefault="00C91301" w:rsidP="00C91301">
      <w:pPr>
        <w:spacing w:line="360" w:lineRule="auto"/>
        <w:ind w:right="-13"/>
        <w:jc w:val="both"/>
        <w:rPr>
          <w:rFonts w:ascii="Katsoulidis" w:hAnsi="Katsoulidis" w:cs="Arial"/>
          <w:b/>
        </w:rPr>
      </w:pPr>
      <w:r w:rsidRPr="00E91E30">
        <w:rPr>
          <w:rFonts w:ascii="Katsoulidis" w:hAnsi="Katsoulidis" w:cs="Arial"/>
        </w:rPr>
        <w:t xml:space="preserve">Η </w:t>
      </w:r>
      <w:r w:rsidRPr="00E91E30">
        <w:rPr>
          <w:rFonts w:ascii="Katsoulidis" w:hAnsi="Katsoulidis" w:cs="Arial"/>
          <w:b/>
        </w:rPr>
        <w:t>κατάταξη</w:t>
      </w:r>
      <w:r w:rsidRPr="00E91E30">
        <w:rPr>
          <w:rFonts w:ascii="Katsoulidis" w:hAnsi="Katsoulidis" w:cs="Arial"/>
        </w:rPr>
        <w:t xml:space="preserve"> των πτυχιούχων άλλων Σχολών θα γίνεται στο </w:t>
      </w:r>
      <w:r w:rsidRPr="00E91E30">
        <w:rPr>
          <w:rFonts w:ascii="Katsoulidis" w:hAnsi="Katsoulidis" w:cs="Arial"/>
          <w:b/>
        </w:rPr>
        <w:t xml:space="preserve">Γ΄ εξάμηνο </w:t>
      </w:r>
      <w:r w:rsidRPr="00E91E30">
        <w:rPr>
          <w:rFonts w:ascii="Katsoulidis" w:hAnsi="Katsoulidis" w:cs="Arial"/>
        </w:rPr>
        <w:t xml:space="preserve">σπουδών, </w:t>
      </w:r>
      <w:r w:rsidRPr="00E91E30">
        <w:rPr>
          <w:rFonts w:ascii="Katsoulidis" w:hAnsi="Katsoulidis" w:cs="Arial"/>
          <w:b/>
        </w:rPr>
        <w:t xml:space="preserve">ωστόσο τα μαθήματα που θα αναγνωριστούν στους/στις επιτυχόντες/ούσες θα είναι </w:t>
      </w:r>
      <w:r w:rsidRPr="00E91E30">
        <w:rPr>
          <w:rFonts w:ascii="Katsoulidis" w:hAnsi="Katsoulidis" w:cs="Arial"/>
          <w:b/>
          <w:u w:val="single"/>
        </w:rPr>
        <w:t>μόνο</w:t>
      </w:r>
      <w:r w:rsidRPr="00E91E30">
        <w:rPr>
          <w:rFonts w:ascii="Katsoulidis" w:hAnsi="Katsoulidis" w:cs="Arial"/>
          <w:b/>
        </w:rPr>
        <w:t xml:space="preserve"> τα 3 εξεταζόμενα μαθήματα των Κατατακτηρίων.</w:t>
      </w:r>
    </w:p>
    <w:p w:rsidR="00C91301" w:rsidRPr="00E91E30" w:rsidRDefault="00C91301" w:rsidP="00C91301">
      <w:pPr>
        <w:spacing w:line="360" w:lineRule="auto"/>
        <w:ind w:right="820"/>
        <w:jc w:val="both"/>
        <w:rPr>
          <w:rFonts w:ascii="Katsoulidis" w:hAnsi="Katsoulidis" w:cs="Arial"/>
          <w:b/>
        </w:rPr>
      </w:pPr>
    </w:p>
    <w:p w:rsidR="004E0948" w:rsidRDefault="00C91301" w:rsidP="00C91301">
      <w:pPr>
        <w:jc w:val="center"/>
        <w:rPr>
          <w:b/>
          <w:u w:val="single"/>
        </w:rPr>
      </w:pPr>
      <w:r w:rsidRPr="00E91E30">
        <w:rPr>
          <w:rFonts w:ascii="Katsoulidis" w:hAnsi="Katsoulidis" w:cs="Arial"/>
        </w:rPr>
        <w:lastRenderedPageBreak/>
        <w:t xml:space="preserve">Οι υποψήφιοι/ες θα εξεταστούν στα ακόλουθα </w:t>
      </w:r>
      <w:r w:rsidRPr="00E91E30">
        <w:rPr>
          <w:rFonts w:ascii="Katsoulidis" w:hAnsi="Katsoulidis" w:cs="Arial"/>
          <w:b/>
        </w:rPr>
        <w:t>τρία (3) μαθήματα</w:t>
      </w:r>
    </w:p>
    <w:p w:rsidR="004E0948" w:rsidRDefault="004E0948" w:rsidP="004E0948">
      <w:pPr>
        <w:jc w:val="center"/>
        <w:rPr>
          <w:b/>
          <w:u w:val="single"/>
        </w:rPr>
      </w:pPr>
    </w:p>
    <w:p w:rsidR="004E0948" w:rsidRDefault="004E0948" w:rsidP="004E0948">
      <w:pPr>
        <w:jc w:val="center"/>
        <w:rPr>
          <w:b/>
          <w:sz w:val="22"/>
          <w:szCs w:val="22"/>
          <w:u w:val="single"/>
        </w:rPr>
      </w:pPr>
    </w:p>
    <w:p w:rsidR="004E0948" w:rsidRDefault="004E0948" w:rsidP="004E0948">
      <w:pPr>
        <w:spacing w:line="360" w:lineRule="auto"/>
        <w:ind w:right="820"/>
        <w:jc w:val="both"/>
        <w:rPr>
          <w:rFonts w:ascii="Arial" w:hAnsi="Arial" w:cs="Arial"/>
        </w:rPr>
      </w:pPr>
    </w:p>
    <w:p w:rsidR="004E0948" w:rsidRDefault="004E0948" w:rsidP="004E0948">
      <w:pPr>
        <w:spacing w:line="360" w:lineRule="auto"/>
        <w:ind w:right="820"/>
        <w:jc w:val="both"/>
        <w:rPr>
          <w:rFonts w:ascii="Arial" w:hAnsi="Arial" w:cs="Arial"/>
        </w:rPr>
      </w:pPr>
    </w:p>
    <w:p w:rsidR="00357647" w:rsidRDefault="00357647" w:rsidP="00357647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Α) </w:t>
      </w:r>
      <w:r w:rsidR="007258A2">
        <w:rPr>
          <w:b/>
          <w:bCs/>
          <w:u w:val="single"/>
        </w:rPr>
        <w:t xml:space="preserve">ΕΙΣΑΓΩΓΗ ΣΤΗ </w:t>
      </w:r>
      <w:r>
        <w:rPr>
          <w:b/>
          <w:bCs/>
          <w:u w:val="single"/>
        </w:rPr>
        <w:t>ΓΛΩΣΣΟΛΟΓΙΑ  Ι:</w:t>
      </w:r>
    </w:p>
    <w:p w:rsidR="00357647" w:rsidRDefault="00357647" w:rsidP="00357647">
      <w:pPr>
        <w:jc w:val="both"/>
      </w:pPr>
    </w:p>
    <w:p w:rsidR="00357647" w:rsidRDefault="00357647" w:rsidP="00357647">
      <w:pPr>
        <w:jc w:val="both"/>
      </w:pPr>
      <w:r>
        <w:rPr>
          <w:b/>
        </w:rPr>
        <w:t xml:space="preserve">Κεφάλαια 2, 3, 4, 5, 6, 7, 8, 13 </w:t>
      </w:r>
      <w:r>
        <w:t xml:space="preserve">από την </w:t>
      </w:r>
      <w:r>
        <w:rPr>
          <w:b/>
        </w:rPr>
        <w:t xml:space="preserve">τέταρτη </w:t>
      </w:r>
      <w:r>
        <w:t>ή</w:t>
      </w:r>
      <w:r>
        <w:rPr>
          <w:b/>
        </w:rPr>
        <w:t xml:space="preserve"> την έκτη </w:t>
      </w:r>
      <w:r>
        <w:t>έκδοση του διδακτικού εγχειριδίου:</w:t>
      </w:r>
    </w:p>
    <w:p w:rsidR="00357647" w:rsidRDefault="00357647" w:rsidP="00357647">
      <w:pPr>
        <w:jc w:val="both"/>
      </w:pPr>
    </w:p>
    <w:p w:rsidR="00357647" w:rsidRDefault="00357647" w:rsidP="00357647">
      <w:pPr>
        <w:jc w:val="both"/>
        <w:rPr>
          <w:lang w:val="en-US"/>
        </w:rPr>
      </w:pPr>
      <w:r>
        <w:rPr>
          <w:lang w:val="en-US"/>
        </w:rPr>
        <w:t xml:space="preserve">Yule, George. </w:t>
      </w:r>
      <w:r>
        <w:rPr>
          <w:b/>
          <w:lang w:val="en-US"/>
        </w:rPr>
        <w:t>2010</w:t>
      </w:r>
      <w:r>
        <w:rPr>
          <w:lang w:val="en-US"/>
        </w:rPr>
        <w:t xml:space="preserve">. </w:t>
      </w:r>
      <w:r>
        <w:rPr>
          <w:i/>
          <w:lang w:val="en-US"/>
        </w:rPr>
        <w:t>The Study of Language</w:t>
      </w:r>
      <w:r>
        <w:rPr>
          <w:lang w:val="en-US"/>
        </w:rPr>
        <w:t xml:space="preserve">. </w:t>
      </w:r>
      <w:proofErr w:type="gramStart"/>
      <w:r>
        <w:rPr>
          <w:b/>
          <w:lang w:val="en-US"/>
        </w:rPr>
        <w:t>4th edition</w:t>
      </w:r>
      <w:r>
        <w:rPr>
          <w:lang w:val="en-US"/>
        </w:rPr>
        <w:t>.</w:t>
      </w:r>
      <w:proofErr w:type="gramEnd"/>
    </w:p>
    <w:p w:rsidR="00357647" w:rsidRDefault="00357647" w:rsidP="00357647">
      <w:pPr>
        <w:jc w:val="both"/>
        <w:rPr>
          <w:lang w:val="en-US"/>
        </w:rPr>
      </w:pPr>
      <w:r>
        <w:rPr>
          <w:lang w:val="en-US"/>
        </w:rPr>
        <w:t>Cambridge: Cambridge University Press.</w:t>
      </w:r>
    </w:p>
    <w:p w:rsidR="00357647" w:rsidRDefault="00357647" w:rsidP="00357647">
      <w:pPr>
        <w:jc w:val="both"/>
        <w:rPr>
          <w:lang w:val="en-US"/>
        </w:rPr>
      </w:pPr>
    </w:p>
    <w:p w:rsidR="00357647" w:rsidRDefault="00357647" w:rsidP="00357647">
      <w:pPr>
        <w:jc w:val="both"/>
        <w:rPr>
          <w:lang w:val="en-US"/>
        </w:rPr>
      </w:pPr>
      <w:r>
        <w:rPr>
          <w:lang w:val="en-US"/>
        </w:rPr>
        <w:t xml:space="preserve">Yule, George. </w:t>
      </w:r>
      <w:r>
        <w:rPr>
          <w:b/>
          <w:lang w:val="en-US"/>
        </w:rPr>
        <w:t>2017</w:t>
      </w:r>
      <w:r>
        <w:rPr>
          <w:lang w:val="en-US"/>
        </w:rPr>
        <w:t xml:space="preserve">. </w:t>
      </w:r>
      <w:r>
        <w:rPr>
          <w:i/>
          <w:lang w:val="en-US"/>
        </w:rPr>
        <w:t>The Study of Language</w:t>
      </w:r>
      <w:r>
        <w:rPr>
          <w:lang w:val="en-US"/>
        </w:rPr>
        <w:t xml:space="preserve">. </w:t>
      </w:r>
      <w:proofErr w:type="gramStart"/>
      <w:r>
        <w:rPr>
          <w:b/>
          <w:lang w:val="en-US"/>
        </w:rPr>
        <w:t>6th edition</w:t>
      </w:r>
      <w:r>
        <w:rPr>
          <w:lang w:val="en-US"/>
        </w:rPr>
        <w:t>.</w:t>
      </w:r>
      <w:proofErr w:type="gramEnd"/>
    </w:p>
    <w:p w:rsidR="00357647" w:rsidRDefault="00357647" w:rsidP="00357647">
      <w:pPr>
        <w:jc w:val="both"/>
        <w:rPr>
          <w:lang w:val="en-US"/>
        </w:rPr>
      </w:pPr>
      <w:r>
        <w:rPr>
          <w:lang w:val="en-US"/>
        </w:rPr>
        <w:t>Cambridge: Cambridge University Press.</w:t>
      </w:r>
    </w:p>
    <w:p w:rsidR="00357647" w:rsidRDefault="00357647" w:rsidP="00357647">
      <w:pPr>
        <w:jc w:val="both"/>
        <w:rPr>
          <w:lang w:val="en-US"/>
        </w:rPr>
      </w:pPr>
    </w:p>
    <w:p w:rsidR="00357647" w:rsidRDefault="00357647" w:rsidP="00357647">
      <w:pPr>
        <w:jc w:val="both"/>
        <w:rPr>
          <w:lang w:val="en-US"/>
        </w:rPr>
      </w:pPr>
      <w:r>
        <w:rPr>
          <w:lang w:val="en-US"/>
        </w:rPr>
        <w:t>2 Animals and human language</w:t>
      </w:r>
    </w:p>
    <w:p w:rsidR="00357647" w:rsidRDefault="00357647" w:rsidP="00357647">
      <w:pPr>
        <w:jc w:val="both"/>
        <w:rPr>
          <w:lang w:val="en-US"/>
        </w:rPr>
      </w:pPr>
      <w:r>
        <w:rPr>
          <w:lang w:val="en-US"/>
        </w:rPr>
        <w:t>3 The sounds of language</w:t>
      </w:r>
    </w:p>
    <w:p w:rsidR="00357647" w:rsidRDefault="00357647" w:rsidP="00357647">
      <w:pPr>
        <w:jc w:val="both"/>
        <w:rPr>
          <w:lang w:val="en-US"/>
        </w:rPr>
      </w:pPr>
      <w:r>
        <w:rPr>
          <w:lang w:val="en-US"/>
        </w:rPr>
        <w:t>4 The sound patterns of language</w:t>
      </w:r>
    </w:p>
    <w:p w:rsidR="00357647" w:rsidRDefault="00357647" w:rsidP="00357647">
      <w:pPr>
        <w:jc w:val="both"/>
        <w:rPr>
          <w:lang w:val="en-US"/>
        </w:rPr>
      </w:pPr>
      <w:r>
        <w:rPr>
          <w:lang w:val="en-US"/>
        </w:rPr>
        <w:t xml:space="preserve">5 Word </w:t>
      </w:r>
      <w:proofErr w:type="gramStart"/>
      <w:r>
        <w:rPr>
          <w:lang w:val="en-US"/>
        </w:rPr>
        <w:t>formation</w:t>
      </w:r>
      <w:proofErr w:type="gramEnd"/>
    </w:p>
    <w:p w:rsidR="00357647" w:rsidRDefault="00357647" w:rsidP="00357647">
      <w:pPr>
        <w:jc w:val="both"/>
        <w:rPr>
          <w:lang w:val="en-US"/>
        </w:rPr>
      </w:pPr>
      <w:proofErr w:type="gramStart"/>
      <w:r>
        <w:rPr>
          <w:lang w:val="en-US"/>
        </w:rPr>
        <w:t>6 Morphology</w:t>
      </w:r>
      <w:proofErr w:type="gramEnd"/>
    </w:p>
    <w:p w:rsidR="00357647" w:rsidRDefault="00357647" w:rsidP="00357647">
      <w:pPr>
        <w:jc w:val="both"/>
        <w:rPr>
          <w:lang w:val="en-US"/>
        </w:rPr>
      </w:pPr>
      <w:r>
        <w:rPr>
          <w:lang w:val="en-US"/>
        </w:rPr>
        <w:t xml:space="preserve">7 </w:t>
      </w:r>
      <w:proofErr w:type="gramStart"/>
      <w:r>
        <w:rPr>
          <w:lang w:val="en-US"/>
        </w:rPr>
        <w:t>Grammar</w:t>
      </w:r>
      <w:proofErr w:type="gramEnd"/>
    </w:p>
    <w:p w:rsidR="00357647" w:rsidRDefault="00357647" w:rsidP="00357647">
      <w:pPr>
        <w:jc w:val="both"/>
        <w:rPr>
          <w:lang w:val="en-US"/>
        </w:rPr>
      </w:pPr>
      <w:proofErr w:type="gramStart"/>
      <w:r>
        <w:rPr>
          <w:lang w:val="en-US"/>
        </w:rPr>
        <w:t>8 Syntax</w:t>
      </w:r>
      <w:proofErr w:type="gramEnd"/>
    </w:p>
    <w:p w:rsidR="00357647" w:rsidRDefault="00357647" w:rsidP="00357647">
      <w:pPr>
        <w:jc w:val="both"/>
        <w:rPr>
          <w:lang w:val="en-US"/>
        </w:rPr>
      </w:pPr>
      <w:r>
        <w:rPr>
          <w:lang w:val="en-US"/>
        </w:rPr>
        <w:t>13 First language acquisition</w:t>
      </w:r>
    </w:p>
    <w:p w:rsidR="00357647" w:rsidRDefault="00357647" w:rsidP="00357647">
      <w:pPr>
        <w:jc w:val="both"/>
        <w:rPr>
          <w:lang w:val="en-US"/>
        </w:rPr>
      </w:pPr>
    </w:p>
    <w:p w:rsidR="00357647" w:rsidRDefault="00357647" w:rsidP="00357647">
      <w:pPr>
        <w:jc w:val="both"/>
        <w:rPr>
          <w:b/>
          <w:lang w:val="en-US"/>
        </w:rPr>
      </w:pPr>
    </w:p>
    <w:p w:rsidR="00357647" w:rsidRDefault="00357647" w:rsidP="00357647">
      <w:pPr>
        <w:jc w:val="both"/>
      </w:pPr>
      <w:r>
        <w:rPr>
          <w:b/>
        </w:rPr>
        <w:t>ΠΡΟΣΟΧΗ</w:t>
      </w:r>
      <w:r>
        <w:t>:</w:t>
      </w:r>
    </w:p>
    <w:p w:rsidR="00357647" w:rsidRDefault="00357647" w:rsidP="00357647">
      <w:pPr>
        <w:jc w:val="both"/>
        <w:rPr>
          <w:b/>
          <w:lang w:val="en-US"/>
        </w:rPr>
      </w:pPr>
      <w:r>
        <w:t xml:space="preserve">Αν χρησιμοποιείτε την </w:t>
      </w:r>
      <w:r>
        <w:rPr>
          <w:b/>
        </w:rPr>
        <w:t xml:space="preserve">τρίτη </w:t>
      </w:r>
      <w:r>
        <w:t>έκδοση του ίδιου βιβλίου (</w:t>
      </w:r>
      <w:r>
        <w:rPr>
          <w:lang w:val="en-US"/>
        </w:rPr>
        <w:t>Yule</w:t>
      </w:r>
      <w:r>
        <w:t xml:space="preserve">, </w:t>
      </w:r>
      <w:r>
        <w:rPr>
          <w:lang w:val="en-US"/>
        </w:rPr>
        <w:t>George</w:t>
      </w:r>
      <w:r>
        <w:t xml:space="preserve">. </w:t>
      </w:r>
      <w:r>
        <w:rPr>
          <w:b/>
          <w:lang w:val="en-US"/>
        </w:rPr>
        <w:t>2006</w:t>
      </w:r>
      <w:r>
        <w:rPr>
          <w:lang w:val="en-US"/>
        </w:rPr>
        <w:t xml:space="preserve">. </w:t>
      </w:r>
      <w:r>
        <w:rPr>
          <w:i/>
          <w:lang w:val="en-US"/>
        </w:rPr>
        <w:t>The Study of Language</w:t>
      </w:r>
      <w:r>
        <w:rPr>
          <w:lang w:val="en-US"/>
        </w:rPr>
        <w:t xml:space="preserve">. </w:t>
      </w:r>
      <w:proofErr w:type="gramStart"/>
      <w:r>
        <w:rPr>
          <w:b/>
          <w:lang w:val="en-US"/>
        </w:rPr>
        <w:t>3rd edition</w:t>
      </w:r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Cambridge: Cambridge University Press), </w:t>
      </w:r>
      <w:r>
        <w:t>η</w:t>
      </w:r>
      <w:r>
        <w:rPr>
          <w:lang w:val="en-US"/>
        </w:rPr>
        <w:t xml:space="preserve"> </w:t>
      </w:r>
      <w:r>
        <w:t>ύλη</w:t>
      </w:r>
      <w:r>
        <w:rPr>
          <w:lang w:val="en-US"/>
        </w:rPr>
        <w:t xml:space="preserve"> </w:t>
      </w:r>
      <w:r>
        <w:t>καλύπτεται</w:t>
      </w:r>
      <w:r>
        <w:rPr>
          <w:lang w:val="en-US"/>
        </w:rPr>
        <w:t xml:space="preserve"> </w:t>
      </w:r>
      <w:r>
        <w:t>από</w:t>
      </w:r>
      <w:r>
        <w:rPr>
          <w:lang w:val="en-US"/>
        </w:rPr>
        <w:t xml:space="preserve"> </w:t>
      </w:r>
      <w:r>
        <w:t>τα</w:t>
      </w:r>
      <w:r>
        <w:rPr>
          <w:lang w:val="en-US"/>
        </w:rPr>
        <w:t xml:space="preserve"> </w:t>
      </w:r>
      <w:r>
        <w:rPr>
          <w:b/>
        </w:rPr>
        <w:t>Κεφάλαια</w:t>
      </w:r>
      <w:r>
        <w:rPr>
          <w:b/>
          <w:lang w:val="en-US"/>
        </w:rPr>
        <w:t xml:space="preserve"> 2, 4, 5, 6, 7, 8, 9, 14</w:t>
      </w:r>
      <w:r>
        <w:rPr>
          <w:lang w:val="en-US"/>
        </w:rPr>
        <w:t>.</w:t>
      </w:r>
      <w:proofErr w:type="gramEnd"/>
    </w:p>
    <w:p w:rsidR="00357647" w:rsidRDefault="00357647" w:rsidP="00357647">
      <w:pPr>
        <w:pStyle w:val="1"/>
        <w:spacing w:line="276" w:lineRule="auto"/>
        <w:ind w:left="0"/>
        <w:jc w:val="both"/>
        <w:rPr>
          <w:b/>
          <w:u w:val="single"/>
          <w:lang w:val="en-US"/>
        </w:rPr>
      </w:pPr>
    </w:p>
    <w:p w:rsidR="00357647" w:rsidRDefault="00357647" w:rsidP="00357647">
      <w:pPr>
        <w:pStyle w:val="1"/>
        <w:spacing w:line="276" w:lineRule="auto"/>
        <w:ind w:left="0"/>
        <w:jc w:val="both"/>
        <w:rPr>
          <w:b/>
          <w:u w:val="single"/>
          <w:lang w:val="en-US"/>
        </w:rPr>
      </w:pPr>
    </w:p>
    <w:p w:rsidR="00357647" w:rsidRDefault="00357647" w:rsidP="00357647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Β) ΑΜΕΡΙΚΑΝΙΚΗ ΠΕΖΟΓΡΑΦΙΑ:</w:t>
      </w:r>
    </w:p>
    <w:p w:rsidR="00357647" w:rsidRDefault="00357647" w:rsidP="00357647">
      <w:pPr>
        <w:jc w:val="both"/>
        <w:rPr>
          <w:bCs/>
        </w:rPr>
      </w:pPr>
    </w:p>
    <w:p w:rsidR="00357647" w:rsidRDefault="00357647" w:rsidP="00357647">
      <w:pPr>
        <w:jc w:val="both"/>
        <w:rPr>
          <w:bCs/>
        </w:rPr>
      </w:pPr>
      <w:r>
        <w:rPr>
          <w:bCs/>
        </w:rPr>
        <w:t>Όλα τα κείμενα διατίθενται στο διαδίκτυο</w:t>
      </w:r>
    </w:p>
    <w:p w:rsidR="00357647" w:rsidRDefault="00357647" w:rsidP="00357647">
      <w:pPr>
        <w:jc w:val="both"/>
        <w:rPr>
          <w:bCs/>
        </w:rPr>
      </w:pPr>
    </w:p>
    <w:p w:rsidR="00357647" w:rsidRDefault="00357647" w:rsidP="00357647">
      <w:pPr>
        <w:pStyle w:val="1"/>
        <w:numPr>
          <w:ilvl w:val="0"/>
          <w:numId w:val="5"/>
        </w:numPr>
        <w:spacing w:line="276" w:lineRule="auto"/>
        <w:jc w:val="both"/>
        <w:rPr>
          <w:lang w:val="en-US"/>
        </w:rPr>
      </w:pPr>
      <w:r>
        <w:rPr>
          <w:lang w:val="en-US"/>
        </w:rPr>
        <w:t>Benjamin Franklin, “Information to Those Who Would Remove to America”</w:t>
      </w:r>
    </w:p>
    <w:p w:rsidR="00357647" w:rsidRDefault="00357647" w:rsidP="00357647">
      <w:pPr>
        <w:pStyle w:val="1"/>
        <w:numPr>
          <w:ilvl w:val="0"/>
          <w:numId w:val="5"/>
        </w:numPr>
        <w:spacing w:line="276" w:lineRule="auto"/>
        <w:jc w:val="both"/>
        <w:rPr>
          <w:lang w:val="en-US"/>
        </w:rPr>
      </w:pPr>
      <w:r>
        <w:rPr>
          <w:lang w:val="en-US"/>
        </w:rPr>
        <w:t>Washington Irving, “The Legend of Sleepy Hollow”</w:t>
      </w:r>
    </w:p>
    <w:p w:rsidR="00357647" w:rsidRDefault="00357647" w:rsidP="00357647">
      <w:pPr>
        <w:pStyle w:val="1"/>
        <w:numPr>
          <w:ilvl w:val="0"/>
          <w:numId w:val="5"/>
        </w:numPr>
        <w:spacing w:line="276" w:lineRule="auto"/>
        <w:jc w:val="both"/>
        <w:rPr>
          <w:lang w:val="en-US"/>
        </w:rPr>
      </w:pPr>
      <w:r>
        <w:rPr>
          <w:lang w:val="en-US"/>
        </w:rPr>
        <w:t>Nathaniel Hawthorne, “Young Goodman Brown”</w:t>
      </w:r>
    </w:p>
    <w:p w:rsidR="00357647" w:rsidRDefault="00357647" w:rsidP="00357647">
      <w:pPr>
        <w:pStyle w:val="1"/>
        <w:numPr>
          <w:ilvl w:val="0"/>
          <w:numId w:val="5"/>
        </w:numPr>
        <w:spacing w:line="276" w:lineRule="auto"/>
        <w:jc w:val="both"/>
        <w:rPr>
          <w:lang w:val="en-US"/>
        </w:rPr>
      </w:pPr>
      <w:r>
        <w:rPr>
          <w:lang w:val="en-US"/>
        </w:rPr>
        <w:t>Edgar Allan Poe, “The Tell-Tale Heart”</w:t>
      </w:r>
    </w:p>
    <w:p w:rsidR="00357647" w:rsidRDefault="00357647" w:rsidP="00357647">
      <w:pPr>
        <w:pStyle w:val="1"/>
        <w:numPr>
          <w:ilvl w:val="0"/>
          <w:numId w:val="5"/>
        </w:numPr>
        <w:spacing w:line="276" w:lineRule="auto"/>
        <w:jc w:val="both"/>
        <w:rPr>
          <w:lang w:val="en-US"/>
        </w:rPr>
      </w:pPr>
      <w:r>
        <w:rPr>
          <w:lang w:val="en-US"/>
        </w:rPr>
        <w:t>Herman Melville, “Bartleby the Scrivener”</w:t>
      </w:r>
    </w:p>
    <w:p w:rsidR="00357647" w:rsidRDefault="00357647" w:rsidP="00357647">
      <w:pPr>
        <w:pStyle w:val="1"/>
        <w:numPr>
          <w:ilvl w:val="0"/>
          <w:numId w:val="5"/>
        </w:numPr>
        <w:spacing w:line="276" w:lineRule="auto"/>
        <w:jc w:val="both"/>
        <w:rPr>
          <w:lang w:val="en-US"/>
        </w:rPr>
      </w:pPr>
      <w:r>
        <w:rPr>
          <w:lang w:val="en-US"/>
        </w:rPr>
        <w:t>Henry James, “Europe”</w:t>
      </w:r>
    </w:p>
    <w:p w:rsidR="00357647" w:rsidRDefault="00357647" w:rsidP="00357647">
      <w:pPr>
        <w:pStyle w:val="1"/>
        <w:numPr>
          <w:ilvl w:val="0"/>
          <w:numId w:val="5"/>
        </w:numPr>
        <w:spacing w:line="276" w:lineRule="auto"/>
        <w:jc w:val="both"/>
        <w:rPr>
          <w:lang w:val="en-US"/>
        </w:rPr>
      </w:pPr>
      <w:r>
        <w:rPr>
          <w:lang w:val="en-US"/>
        </w:rPr>
        <w:t>Kate Chopin, “The Storm”</w:t>
      </w:r>
    </w:p>
    <w:p w:rsidR="00357647" w:rsidRDefault="00357647" w:rsidP="00357647">
      <w:pPr>
        <w:pStyle w:val="1"/>
        <w:numPr>
          <w:ilvl w:val="0"/>
          <w:numId w:val="5"/>
        </w:numPr>
        <w:spacing w:line="276" w:lineRule="auto"/>
        <w:jc w:val="both"/>
        <w:rPr>
          <w:lang w:val="en-US"/>
        </w:rPr>
      </w:pPr>
      <w:r>
        <w:rPr>
          <w:lang w:val="en-US"/>
        </w:rPr>
        <w:t xml:space="preserve">Ernest </w:t>
      </w:r>
      <w:proofErr w:type="spellStart"/>
      <w:r>
        <w:rPr>
          <w:lang w:val="en-US"/>
        </w:rPr>
        <w:t>Heminway</w:t>
      </w:r>
      <w:proofErr w:type="spellEnd"/>
      <w:r>
        <w:rPr>
          <w:lang w:val="en-US"/>
        </w:rPr>
        <w:t>, “The Old Man and the Sea”</w:t>
      </w:r>
    </w:p>
    <w:p w:rsidR="00357647" w:rsidRDefault="00357647" w:rsidP="00357647">
      <w:pPr>
        <w:pStyle w:val="1"/>
        <w:numPr>
          <w:ilvl w:val="0"/>
          <w:numId w:val="5"/>
        </w:numPr>
        <w:spacing w:line="276" w:lineRule="auto"/>
        <w:jc w:val="both"/>
        <w:rPr>
          <w:lang w:val="en-US"/>
        </w:rPr>
      </w:pPr>
      <w:r>
        <w:rPr>
          <w:lang w:val="en-US"/>
        </w:rPr>
        <w:lastRenderedPageBreak/>
        <w:t>F. Scott Fitzgerald, “Babylon Revisited”</w:t>
      </w:r>
    </w:p>
    <w:p w:rsidR="00357647" w:rsidRDefault="00357647" w:rsidP="00357647">
      <w:pPr>
        <w:pStyle w:val="1"/>
        <w:numPr>
          <w:ilvl w:val="0"/>
          <w:numId w:val="5"/>
        </w:numPr>
        <w:spacing w:line="276" w:lineRule="auto"/>
        <w:jc w:val="both"/>
        <w:rPr>
          <w:lang w:val="en-US"/>
        </w:rPr>
      </w:pPr>
      <w:proofErr w:type="spellStart"/>
      <w:r>
        <w:rPr>
          <w:lang w:val="en-US"/>
        </w:rPr>
        <w:t>Zora</w:t>
      </w:r>
      <w:proofErr w:type="spellEnd"/>
      <w:r>
        <w:rPr>
          <w:lang w:val="en-US"/>
        </w:rPr>
        <w:t xml:space="preserve"> Neale Hurston, “Sweat”</w:t>
      </w:r>
    </w:p>
    <w:p w:rsidR="00357647" w:rsidRDefault="00357647" w:rsidP="00357647">
      <w:pPr>
        <w:pStyle w:val="1"/>
        <w:numPr>
          <w:ilvl w:val="0"/>
          <w:numId w:val="5"/>
        </w:numPr>
        <w:spacing w:line="276" w:lineRule="auto"/>
        <w:jc w:val="both"/>
        <w:rPr>
          <w:lang w:val="en-US"/>
        </w:rPr>
      </w:pPr>
      <w:r>
        <w:rPr>
          <w:lang w:val="en-US"/>
        </w:rPr>
        <w:t>Shirley Jackson, “The Lottery”</w:t>
      </w:r>
    </w:p>
    <w:p w:rsidR="00357647" w:rsidRDefault="00357647" w:rsidP="00357647">
      <w:pPr>
        <w:pStyle w:val="1"/>
        <w:numPr>
          <w:ilvl w:val="0"/>
          <w:numId w:val="5"/>
        </w:numPr>
        <w:spacing w:line="276" w:lineRule="auto"/>
        <w:jc w:val="both"/>
        <w:rPr>
          <w:lang w:val="en-US"/>
        </w:rPr>
      </w:pPr>
      <w:r>
        <w:rPr>
          <w:lang w:val="en-US"/>
        </w:rPr>
        <w:t xml:space="preserve"> Philip Roth, “The Conversion of the Jews”</w:t>
      </w:r>
    </w:p>
    <w:p w:rsidR="00357647" w:rsidRDefault="00357647" w:rsidP="00357647">
      <w:pPr>
        <w:pStyle w:val="1"/>
        <w:numPr>
          <w:ilvl w:val="0"/>
          <w:numId w:val="5"/>
        </w:numPr>
        <w:spacing w:line="276" w:lineRule="auto"/>
        <w:jc w:val="both"/>
        <w:rPr>
          <w:lang w:val="en-US"/>
        </w:rPr>
      </w:pPr>
      <w:r>
        <w:rPr>
          <w:lang w:val="en-US"/>
        </w:rPr>
        <w:t>Jamaica Kincaid, “Girl”</w:t>
      </w:r>
    </w:p>
    <w:p w:rsidR="00357647" w:rsidRDefault="00357647" w:rsidP="00357647">
      <w:pPr>
        <w:pStyle w:val="1"/>
        <w:numPr>
          <w:ilvl w:val="0"/>
          <w:numId w:val="5"/>
        </w:numPr>
        <w:spacing w:line="276" w:lineRule="auto"/>
        <w:jc w:val="both"/>
        <w:rPr>
          <w:lang w:val="en-US"/>
        </w:rPr>
      </w:pPr>
      <w:r>
        <w:rPr>
          <w:lang w:val="en-US"/>
        </w:rPr>
        <w:t xml:space="preserve">Louise </w:t>
      </w:r>
      <w:proofErr w:type="spellStart"/>
      <w:r>
        <w:rPr>
          <w:lang w:val="en-US"/>
        </w:rPr>
        <w:t>Erdrich</w:t>
      </w:r>
      <w:proofErr w:type="spellEnd"/>
      <w:r>
        <w:rPr>
          <w:lang w:val="en-US"/>
        </w:rPr>
        <w:t>, “Saint Marie”</w:t>
      </w:r>
    </w:p>
    <w:p w:rsidR="00357647" w:rsidRDefault="00357647" w:rsidP="00357647">
      <w:pPr>
        <w:pStyle w:val="1"/>
        <w:numPr>
          <w:ilvl w:val="0"/>
          <w:numId w:val="5"/>
        </w:numPr>
        <w:spacing w:line="276" w:lineRule="auto"/>
        <w:jc w:val="both"/>
        <w:rPr>
          <w:lang w:val="en-US"/>
        </w:rPr>
      </w:pPr>
      <w:r>
        <w:rPr>
          <w:lang w:val="en-US"/>
        </w:rPr>
        <w:t xml:space="preserve">Jonathan </w:t>
      </w:r>
      <w:proofErr w:type="spellStart"/>
      <w:r>
        <w:rPr>
          <w:lang w:val="en-US"/>
        </w:rPr>
        <w:t>Franzen</w:t>
      </w:r>
      <w:proofErr w:type="spellEnd"/>
      <w:r>
        <w:rPr>
          <w:lang w:val="en-US"/>
        </w:rPr>
        <w:t>, “Agreeable”</w:t>
      </w:r>
    </w:p>
    <w:p w:rsidR="00357647" w:rsidRDefault="00357647" w:rsidP="00357647">
      <w:pPr>
        <w:pStyle w:val="1"/>
        <w:spacing w:line="276" w:lineRule="auto"/>
        <w:ind w:left="0"/>
        <w:jc w:val="both"/>
        <w:rPr>
          <w:b/>
          <w:u w:val="single"/>
        </w:rPr>
      </w:pPr>
    </w:p>
    <w:p w:rsidR="00357647" w:rsidRDefault="00357647" w:rsidP="00357647">
      <w:pPr>
        <w:pStyle w:val="Web"/>
        <w:spacing w:after="0"/>
        <w:rPr>
          <w:lang w:val="en-US"/>
        </w:rPr>
      </w:pPr>
    </w:p>
    <w:p w:rsidR="00357647" w:rsidRDefault="00357647" w:rsidP="00357647">
      <w:pPr>
        <w:rPr>
          <w:b/>
          <w:u w:val="single"/>
          <w:lang w:val="en-US"/>
        </w:rPr>
      </w:pPr>
      <w:r>
        <w:rPr>
          <w:sz w:val="28"/>
          <w:szCs w:val="28"/>
        </w:rPr>
        <w:t>Γ</w:t>
      </w:r>
      <w:r>
        <w:rPr>
          <w:sz w:val="28"/>
          <w:szCs w:val="28"/>
          <w:lang w:val="en-US"/>
        </w:rPr>
        <w:t xml:space="preserve">) </w:t>
      </w:r>
      <w:r>
        <w:rPr>
          <w:b/>
          <w:u w:val="single"/>
        </w:rPr>
        <w:t>ΑΚΑΔΗΜΑΪΚΟΣ</w:t>
      </w:r>
      <w:r>
        <w:rPr>
          <w:b/>
          <w:u w:val="single"/>
          <w:lang w:val="en-US"/>
        </w:rPr>
        <w:t xml:space="preserve"> </w:t>
      </w:r>
      <w:r>
        <w:rPr>
          <w:b/>
          <w:u w:val="single"/>
        </w:rPr>
        <w:t>ΛΟΓΟΣ</w:t>
      </w:r>
    </w:p>
    <w:p w:rsidR="00357647" w:rsidRDefault="00357647" w:rsidP="00357647">
      <w:pPr>
        <w:rPr>
          <w:sz w:val="28"/>
          <w:szCs w:val="28"/>
          <w:lang w:val="en-US"/>
        </w:rPr>
      </w:pPr>
    </w:p>
    <w:p w:rsidR="00357647" w:rsidRDefault="00357647" w:rsidP="00357647">
      <w:pPr>
        <w:jc w:val="both"/>
        <w:rPr>
          <w:lang w:val="en-US"/>
        </w:rPr>
      </w:pPr>
      <w:r>
        <w:rPr>
          <w:lang w:val="en-GB"/>
        </w:rPr>
        <w:t xml:space="preserve">(1) </w:t>
      </w:r>
      <w:smartTag w:uri="urn:schemas-microsoft-com:office:smarttags" w:element="place">
        <w:smartTag w:uri="urn:schemas-microsoft-com:office:smarttags" w:element="country-region">
          <w:r>
            <w:rPr>
              <w:lang w:val="en-US"/>
            </w:rPr>
            <w:t>Jordan</w:t>
          </w:r>
        </w:smartTag>
      </w:smartTag>
      <w:r>
        <w:rPr>
          <w:lang w:val="en-US"/>
        </w:rPr>
        <w:t xml:space="preserve">, R. R. (1999) </w:t>
      </w:r>
      <w:r>
        <w:rPr>
          <w:i/>
          <w:iCs/>
          <w:lang w:val="en-US"/>
        </w:rPr>
        <w:t>Academic Writing Course</w:t>
      </w:r>
      <w:r>
        <w:rPr>
          <w:lang w:val="en-US"/>
        </w:rPr>
        <w:t xml:space="preserve">. </w:t>
      </w:r>
      <w:smartTag w:uri="urn:schemas-microsoft-com:office:smarttags" w:element="place">
        <w:smartTag w:uri="urn:schemas-microsoft-com:office:smarttags" w:element="City">
          <w:r>
            <w:rPr>
              <w:lang w:val="en-US"/>
            </w:rPr>
            <w:t>London</w:t>
          </w:r>
        </w:smartTag>
      </w:smartTag>
      <w:r>
        <w:rPr>
          <w:lang w:val="en-US"/>
        </w:rPr>
        <w:t>: Longman. Units: 4, 5, 6, 7, 8, 9, 10, 11, 12, 13, 14, 15, 16.</w:t>
      </w:r>
    </w:p>
    <w:p w:rsidR="00357647" w:rsidRDefault="00357647" w:rsidP="00357647">
      <w:pPr>
        <w:jc w:val="both"/>
        <w:rPr>
          <w:lang w:val="en-GB"/>
        </w:rPr>
      </w:pPr>
    </w:p>
    <w:p w:rsidR="00357647" w:rsidRDefault="00357647" w:rsidP="00357647">
      <w:pPr>
        <w:jc w:val="both"/>
        <w:rPr>
          <w:lang w:val="en-GB"/>
        </w:rPr>
      </w:pPr>
      <w:r>
        <w:rPr>
          <w:lang w:val="en-GB"/>
        </w:rPr>
        <w:t xml:space="preserve">(2) </w:t>
      </w:r>
      <w:proofErr w:type="spellStart"/>
      <w:r>
        <w:rPr>
          <w:lang w:val="en-US"/>
        </w:rPr>
        <w:t>Ifantidou</w:t>
      </w:r>
      <w:proofErr w:type="spellEnd"/>
      <w:r>
        <w:rPr>
          <w:lang w:val="en-US"/>
        </w:rPr>
        <w:t>, E. (201</w:t>
      </w:r>
      <w:r>
        <w:rPr>
          <w:lang w:val="en-GB"/>
        </w:rPr>
        <w:t>1</w:t>
      </w:r>
      <w:r>
        <w:rPr>
          <w:lang w:val="en-US"/>
        </w:rPr>
        <w:t xml:space="preserve">) </w:t>
      </w:r>
      <w:r>
        <w:rPr>
          <w:i/>
          <w:iCs/>
          <w:lang w:val="en-US"/>
        </w:rPr>
        <w:t>Genres and Pragmatic Understanding</w:t>
      </w:r>
      <w:r>
        <w:rPr>
          <w:lang w:val="en-US"/>
        </w:rPr>
        <w:t xml:space="preserve">. </w:t>
      </w:r>
      <w:smartTag w:uri="urn:schemas-microsoft-com:office:smarttags" w:element="place">
        <w:smartTag w:uri="urn:schemas-microsoft-com:office:smarttags" w:element="City">
          <w:r>
            <w:rPr>
              <w:lang w:val="en-US"/>
            </w:rPr>
            <w:t>Athens</w:t>
          </w:r>
        </w:smartTag>
      </w:smartTag>
      <w:r>
        <w:rPr>
          <w:lang w:val="en-US"/>
        </w:rPr>
        <w:t xml:space="preserve">: </w:t>
      </w:r>
      <w:proofErr w:type="spellStart"/>
      <w:r>
        <w:rPr>
          <w:lang w:val="en-US"/>
        </w:rPr>
        <w:t>Patakis</w:t>
      </w:r>
      <w:proofErr w:type="spellEnd"/>
      <w:r>
        <w:rPr>
          <w:lang w:val="en-US"/>
        </w:rPr>
        <w:t>.</w:t>
      </w:r>
    </w:p>
    <w:p w:rsidR="00357647" w:rsidRDefault="00357647" w:rsidP="00357647">
      <w:pPr>
        <w:jc w:val="both"/>
        <w:rPr>
          <w:lang w:val="en-US"/>
        </w:rPr>
      </w:pPr>
      <w:r>
        <w:rPr>
          <w:lang w:val="en-US"/>
        </w:rPr>
        <w:t>Chapter 5, pp. 61–66, 70–71</w:t>
      </w:r>
      <w:r>
        <w:rPr>
          <w:lang w:val="en-GB"/>
        </w:rPr>
        <w:t xml:space="preserve">, </w:t>
      </w:r>
      <w:r>
        <w:rPr>
          <w:lang w:val="en-US"/>
        </w:rPr>
        <w:t>pp. 82–85, 88–89, 99–101, 104, 110, 113–114 (see pp. 50–56, 106–107)</w:t>
      </w:r>
      <w:r>
        <w:rPr>
          <w:lang w:val="en-GB"/>
        </w:rPr>
        <w:t xml:space="preserve">, </w:t>
      </w:r>
      <w:r>
        <w:rPr>
          <w:lang w:val="en-US"/>
        </w:rPr>
        <w:t>pp. 37–39, e.g. (5, 5a); pp. 99–100, p.110</w:t>
      </w:r>
      <w:r>
        <w:rPr>
          <w:lang w:val="en-GB"/>
        </w:rPr>
        <w:t xml:space="preserve">, </w:t>
      </w:r>
      <w:r>
        <w:rPr>
          <w:lang w:val="en-US"/>
        </w:rPr>
        <w:t>pp. 132–140</w:t>
      </w:r>
      <w:r>
        <w:rPr>
          <w:lang w:val="en-GB"/>
        </w:rPr>
        <w:t xml:space="preserve">, </w:t>
      </w:r>
      <w:r>
        <w:rPr>
          <w:lang w:val="en-US"/>
        </w:rPr>
        <w:t>p. 155, Activity 7; pp.180–181, self-study 26; pp. 155–156; pp. 156–164, self-study 19; Chapter 9.1.2, pp. 140–147; p. 46 e.g. 8; p.55, pp. 63–66; Chapters 7.1.1, 7.1.2, 7.2.1, 7.2.2, 7.2.3, 9.1.2.</w:t>
      </w:r>
    </w:p>
    <w:p w:rsidR="00357647" w:rsidRDefault="00357647" w:rsidP="00357647">
      <w:pPr>
        <w:jc w:val="both"/>
        <w:rPr>
          <w:lang w:val="en-GB"/>
        </w:rPr>
      </w:pPr>
    </w:p>
    <w:p w:rsidR="00357647" w:rsidRDefault="00357647" w:rsidP="00357647">
      <w:pPr>
        <w:jc w:val="both"/>
        <w:rPr>
          <w:lang w:val="en-US"/>
        </w:rPr>
      </w:pPr>
      <w:r>
        <w:rPr>
          <w:lang w:val="en-GB"/>
        </w:rPr>
        <w:t xml:space="preserve">(3) </w:t>
      </w:r>
      <w:proofErr w:type="spellStart"/>
      <w:r>
        <w:rPr>
          <w:lang w:val="en-US"/>
        </w:rPr>
        <w:t>Trzeciak</w:t>
      </w:r>
      <w:proofErr w:type="spellEnd"/>
      <w:r>
        <w:rPr>
          <w:lang w:val="en-US"/>
        </w:rPr>
        <w:t xml:space="preserve">, J. &amp; Mackay, S. E. (1995) </w:t>
      </w:r>
      <w:r>
        <w:rPr>
          <w:i/>
          <w:iCs/>
          <w:lang w:val="en-US"/>
        </w:rPr>
        <w:t>Study Skills for Academic Writing</w:t>
      </w:r>
      <w:r>
        <w:rPr>
          <w:lang w:val="en-US"/>
        </w:rPr>
        <w:t xml:space="preserve"> (English for Academic Study). </w:t>
      </w:r>
      <w:smartTag w:uri="urn:schemas-microsoft-com:office:smarttags" w:element="place">
        <w:smartTag w:uri="urn:schemas-microsoft-com:office:smarttags" w:element="State">
          <w:r>
            <w:rPr>
              <w:lang w:val="en-US"/>
            </w:rPr>
            <w:t>New York</w:t>
          </w:r>
        </w:smartTag>
      </w:smartTag>
      <w:r>
        <w:rPr>
          <w:lang w:val="en-US"/>
        </w:rPr>
        <w:t>: Prentice-Hall.</w:t>
      </w:r>
    </w:p>
    <w:p w:rsidR="00357647" w:rsidRDefault="00357647" w:rsidP="00357647">
      <w:pPr>
        <w:jc w:val="both"/>
        <w:rPr>
          <w:lang w:val="en-US"/>
        </w:rPr>
      </w:pPr>
    </w:p>
    <w:p w:rsidR="00357647" w:rsidRDefault="00357647" w:rsidP="00357647">
      <w:pPr>
        <w:jc w:val="both"/>
        <w:rPr>
          <w:lang w:val="en-US"/>
        </w:rPr>
      </w:pPr>
      <w:r>
        <w:rPr>
          <w:lang w:val="en-US"/>
        </w:rPr>
        <w:t xml:space="preserve">4) Hyland, K. (2004) </w:t>
      </w:r>
      <w:r>
        <w:rPr>
          <w:i/>
          <w:lang w:val="en-US"/>
        </w:rPr>
        <w:t>Disciplinary Discourses: Social Interactions in Academic Writing</w:t>
      </w:r>
      <w:r>
        <w:rPr>
          <w:lang w:val="en-US"/>
        </w:rPr>
        <w:t xml:space="preserve">. Ann Arbor: The University of Michigan Press. </w:t>
      </w:r>
      <w:proofErr w:type="gramStart"/>
      <w:r>
        <w:rPr>
          <w:lang w:val="en-US"/>
        </w:rPr>
        <w:t>Chapter 4.</w:t>
      </w:r>
      <w:proofErr w:type="gramEnd"/>
    </w:p>
    <w:p w:rsidR="00357647" w:rsidRDefault="00357647" w:rsidP="00357647">
      <w:pPr>
        <w:jc w:val="both"/>
        <w:rPr>
          <w:lang w:val="en-US"/>
        </w:rPr>
      </w:pPr>
    </w:p>
    <w:p w:rsidR="00357647" w:rsidRDefault="00357647" w:rsidP="00357647">
      <w:pPr>
        <w:jc w:val="both"/>
        <w:rPr>
          <w:lang w:val="en-US"/>
        </w:rPr>
      </w:pPr>
      <w:r>
        <w:rPr>
          <w:lang w:val="en-US"/>
        </w:rPr>
        <w:t xml:space="preserve">5) Swales, J. (1990) </w:t>
      </w:r>
      <w:r>
        <w:rPr>
          <w:i/>
          <w:lang w:val="en-US"/>
        </w:rPr>
        <w:t>Genre Analysis: English in Academic and Research Settings</w:t>
      </w:r>
      <w:r>
        <w:rPr>
          <w:lang w:val="en-US"/>
        </w:rPr>
        <w:t xml:space="preserve">. Cambridge: Cambridge University Press. </w:t>
      </w:r>
      <w:proofErr w:type="gramStart"/>
      <w:r>
        <w:rPr>
          <w:lang w:val="en-US"/>
        </w:rPr>
        <w:t>Chapter 7 (7.1 – 7.7) and Section 8.1.</w:t>
      </w:r>
      <w:proofErr w:type="gramEnd"/>
    </w:p>
    <w:p w:rsidR="00357647" w:rsidRDefault="00357647" w:rsidP="00357647">
      <w:pPr>
        <w:jc w:val="both"/>
        <w:rPr>
          <w:lang w:val="en-US"/>
        </w:rPr>
      </w:pPr>
    </w:p>
    <w:p w:rsidR="00357647" w:rsidRDefault="00357647" w:rsidP="00357647">
      <w:pPr>
        <w:jc w:val="both"/>
        <w:rPr>
          <w:lang w:val="en-US"/>
        </w:rPr>
      </w:pPr>
      <w:r>
        <w:rPr>
          <w:lang w:val="en-US"/>
        </w:rPr>
        <w:t xml:space="preserve">6) Swales, J. M. and </w:t>
      </w:r>
      <w:proofErr w:type="spellStart"/>
      <w:r>
        <w:rPr>
          <w:lang w:val="en-US"/>
        </w:rPr>
        <w:t>Feak</w:t>
      </w:r>
      <w:proofErr w:type="spellEnd"/>
      <w:r>
        <w:rPr>
          <w:lang w:val="en-US"/>
        </w:rPr>
        <w:t xml:space="preserve">, C. B. (1994) </w:t>
      </w:r>
      <w:r>
        <w:rPr>
          <w:i/>
          <w:lang w:val="en-US"/>
        </w:rPr>
        <w:t>Academic Writing for Graduate Students</w:t>
      </w:r>
      <w:r>
        <w:rPr>
          <w:lang w:val="en-US"/>
        </w:rPr>
        <w:t xml:space="preserve">. Ann Arbor: The University of Michigan Press. </w:t>
      </w:r>
      <w:proofErr w:type="gramStart"/>
      <w:r>
        <w:rPr>
          <w:lang w:val="en-US"/>
        </w:rPr>
        <w:t>Units 4, 5, 7 and the brief discussion on Abstracts in Unit 8.</w:t>
      </w:r>
      <w:proofErr w:type="gramEnd"/>
    </w:p>
    <w:p w:rsidR="00357647" w:rsidRPr="0008641F" w:rsidRDefault="00357647" w:rsidP="00357647">
      <w:pPr>
        <w:rPr>
          <w:lang w:val="en-US"/>
        </w:rPr>
      </w:pPr>
    </w:p>
    <w:p w:rsidR="00357647" w:rsidRPr="00357647" w:rsidRDefault="00357647" w:rsidP="00357647">
      <w:pPr>
        <w:rPr>
          <w:lang w:val="en-US"/>
        </w:rPr>
      </w:pPr>
    </w:p>
    <w:p w:rsidR="00357647" w:rsidRPr="00357647" w:rsidRDefault="00357647" w:rsidP="00F31776">
      <w:pPr>
        <w:jc w:val="both"/>
        <w:rPr>
          <w:b/>
          <w:bCs/>
          <w:u w:val="single"/>
          <w:lang w:val="en-US"/>
        </w:rPr>
      </w:pPr>
    </w:p>
    <w:p w:rsidR="00F31776" w:rsidRPr="002B2598" w:rsidRDefault="00F31776" w:rsidP="002B2598">
      <w:pPr>
        <w:jc w:val="right"/>
      </w:pPr>
      <w:r w:rsidRPr="004E0948">
        <w:rPr>
          <w:lang w:val="en-US"/>
        </w:rPr>
        <w:tab/>
      </w:r>
      <w:r w:rsidRPr="004E0948">
        <w:rPr>
          <w:lang w:val="en-US"/>
        </w:rPr>
        <w:tab/>
      </w:r>
      <w:r w:rsidRPr="004E0948">
        <w:rPr>
          <w:lang w:val="en-US"/>
        </w:rPr>
        <w:tab/>
      </w:r>
      <w:r w:rsidRPr="004E0948">
        <w:rPr>
          <w:lang w:val="en-US"/>
        </w:rPr>
        <w:tab/>
      </w:r>
      <w:r w:rsidR="002B2598">
        <w:t>Αθήνα,  13/04/2022</w:t>
      </w:r>
    </w:p>
    <w:p w:rsidR="00F31776" w:rsidRPr="0008641F" w:rsidRDefault="00F31776" w:rsidP="00F31776"/>
    <w:p w:rsidR="00A22D25" w:rsidRPr="0008641F" w:rsidRDefault="00A22D25" w:rsidP="004E0948"/>
    <w:p w:rsidR="004E0948" w:rsidRPr="0008641F" w:rsidRDefault="004E0948" w:rsidP="004E0948"/>
    <w:p w:rsidR="004E0948" w:rsidRDefault="004E0948" w:rsidP="004E0948">
      <w:r w:rsidRPr="0008641F">
        <w:tab/>
      </w:r>
      <w:r w:rsidRPr="0008641F">
        <w:tab/>
      </w:r>
      <w:r w:rsidRPr="0008641F">
        <w:tab/>
      </w:r>
      <w:r w:rsidRPr="0008641F">
        <w:tab/>
      </w:r>
      <w:r w:rsidRPr="0008641F">
        <w:tab/>
      </w:r>
      <w:r w:rsidRPr="0008641F">
        <w:tab/>
      </w:r>
      <w:r w:rsidRPr="0008641F">
        <w:tab/>
      </w:r>
      <w:r w:rsidRPr="00B6682D">
        <w:rPr>
          <w:rFonts w:ascii="Arial" w:hAnsi="Arial" w:cs="Arial"/>
        </w:rPr>
        <w:t>Εκ της Γραμματείας του ΤΑΓΦ</w:t>
      </w:r>
    </w:p>
    <w:p w:rsidR="00F77F5A" w:rsidRDefault="00F77F5A"/>
    <w:sectPr w:rsidR="00F77F5A" w:rsidSect="004E0948">
      <w:pgSz w:w="12240" w:h="15840" w:code="1"/>
      <w:pgMar w:top="1702" w:right="1741" w:bottom="1135" w:left="1440" w:header="720" w:footer="720" w:gutter="0"/>
      <w:paperSrc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Katsoulidis">
    <w:altName w:val="Arial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910D1"/>
    <w:multiLevelType w:val="hybridMultilevel"/>
    <w:tmpl w:val="C92C377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D7740"/>
    <w:multiLevelType w:val="multilevel"/>
    <w:tmpl w:val="54C22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E46FFE"/>
    <w:multiLevelType w:val="multilevel"/>
    <w:tmpl w:val="89587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791C81"/>
    <w:multiLevelType w:val="hybridMultilevel"/>
    <w:tmpl w:val="4D2276D4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948"/>
    <w:rsid w:val="00004C7E"/>
    <w:rsid w:val="0008641F"/>
    <w:rsid w:val="0014797E"/>
    <w:rsid w:val="001A2CA5"/>
    <w:rsid w:val="002548B4"/>
    <w:rsid w:val="002B2598"/>
    <w:rsid w:val="002F3B57"/>
    <w:rsid w:val="00357647"/>
    <w:rsid w:val="00473F67"/>
    <w:rsid w:val="004D1C0A"/>
    <w:rsid w:val="004E0948"/>
    <w:rsid w:val="005620B7"/>
    <w:rsid w:val="005953F8"/>
    <w:rsid w:val="007258A2"/>
    <w:rsid w:val="007D6CA5"/>
    <w:rsid w:val="008105B4"/>
    <w:rsid w:val="00832CB0"/>
    <w:rsid w:val="00851416"/>
    <w:rsid w:val="00A22D25"/>
    <w:rsid w:val="00A66728"/>
    <w:rsid w:val="00C91301"/>
    <w:rsid w:val="00CD1E67"/>
    <w:rsid w:val="00D622DE"/>
    <w:rsid w:val="00EE7D1D"/>
    <w:rsid w:val="00F31776"/>
    <w:rsid w:val="00F77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4E0948"/>
    <w:pPr>
      <w:spacing w:before="100" w:beforeAutospacing="1" w:after="119"/>
    </w:pPr>
  </w:style>
  <w:style w:type="paragraph" w:customStyle="1" w:styleId="1">
    <w:name w:val="Παράγραφος λίστας1"/>
    <w:basedOn w:val="a"/>
    <w:semiHidden/>
    <w:rsid w:val="004E0948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C9130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4E0948"/>
    <w:pPr>
      <w:spacing w:before="100" w:beforeAutospacing="1" w:after="119"/>
    </w:pPr>
  </w:style>
  <w:style w:type="paragraph" w:customStyle="1" w:styleId="1">
    <w:name w:val="Παράγραφος λίστας1"/>
    <w:basedOn w:val="a"/>
    <w:semiHidden/>
    <w:rsid w:val="004E0948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C913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5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l.uoa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 Papa</dc:creator>
  <cp:lastModifiedBy>user2</cp:lastModifiedBy>
  <cp:revision>2</cp:revision>
  <cp:lastPrinted>2022-04-12T08:44:00Z</cp:lastPrinted>
  <dcterms:created xsi:type="dcterms:W3CDTF">2022-04-13T07:16:00Z</dcterms:created>
  <dcterms:modified xsi:type="dcterms:W3CDTF">2022-04-13T07:16:00Z</dcterms:modified>
</cp:coreProperties>
</file>